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D9" w:rsidRPr="009C0D5F" w:rsidRDefault="009C0D5F" w:rsidP="00B9517D">
      <w:pPr>
        <w:jc w:val="center"/>
        <w:rPr>
          <w:rFonts w:cs="B Nazanin"/>
          <w:b/>
          <w:bCs/>
          <w:sz w:val="24"/>
          <w:szCs w:val="24"/>
          <w:rtl/>
        </w:rPr>
      </w:pPr>
      <w:r w:rsidRPr="009C0D5F">
        <w:rPr>
          <w:rFonts w:cs="B Nazanin" w:hint="cs"/>
          <w:b/>
          <w:bCs/>
          <w:sz w:val="24"/>
          <w:szCs w:val="24"/>
          <w:rtl/>
        </w:rPr>
        <w:t xml:space="preserve">برنامه های آموزشی </w:t>
      </w:r>
      <w:r w:rsidR="00163530">
        <w:rPr>
          <w:rFonts w:cs="B Nazanin" w:hint="cs"/>
          <w:b/>
          <w:bCs/>
          <w:sz w:val="24"/>
          <w:szCs w:val="24"/>
          <w:rtl/>
        </w:rPr>
        <w:t xml:space="preserve">پیش بینی شده </w:t>
      </w:r>
      <w:r w:rsidR="00473E71">
        <w:rPr>
          <w:rFonts w:cs="B Nazanin" w:hint="cs"/>
          <w:b/>
          <w:bCs/>
          <w:sz w:val="24"/>
          <w:szCs w:val="24"/>
          <w:rtl/>
        </w:rPr>
        <w:t>جهت درج در جدول گانت آموزشی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593" w:type="dxa"/>
        <w:jc w:val="center"/>
        <w:tblLayout w:type="fixed"/>
        <w:tblLook w:val="04A0"/>
      </w:tblPr>
      <w:tblGrid>
        <w:gridCol w:w="567"/>
        <w:gridCol w:w="7088"/>
        <w:gridCol w:w="2693"/>
        <w:gridCol w:w="1701"/>
        <w:gridCol w:w="3544"/>
      </w:tblGrid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86303" w:rsidRPr="00A341EE" w:rsidRDefault="00C86303" w:rsidP="005B04C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41E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088" w:type="dxa"/>
            <w:tcBorders>
              <w:top w:val="thinThickSmallGap" w:sz="18" w:space="0" w:color="auto"/>
            </w:tcBorders>
            <w:vAlign w:val="center"/>
          </w:tcPr>
          <w:p w:rsidR="00C86303" w:rsidRPr="0035139B" w:rsidRDefault="00C86303" w:rsidP="00F61775">
            <w:pPr>
              <w:jc w:val="center"/>
              <w:rPr>
                <w:rFonts w:cs="B Nazanin"/>
                <w:b/>
                <w:bCs/>
                <w:rtl/>
              </w:rPr>
            </w:pPr>
            <w:r w:rsidRPr="0035139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  <w:vAlign w:val="center"/>
          </w:tcPr>
          <w:p w:rsidR="00C86303" w:rsidRPr="0035139B" w:rsidRDefault="00C86303" w:rsidP="005B04C1">
            <w:pPr>
              <w:jc w:val="center"/>
              <w:rPr>
                <w:rFonts w:cs="B Nazanin"/>
                <w:b/>
                <w:bCs/>
                <w:rtl/>
              </w:rPr>
            </w:pPr>
            <w:r w:rsidRPr="0035139B">
              <w:rPr>
                <w:rFonts w:cs="B Nazanin" w:hint="cs"/>
                <w:b/>
                <w:bCs/>
                <w:rtl/>
              </w:rPr>
              <w:t>گروه هدف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  <w:vAlign w:val="center"/>
          </w:tcPr>
          <w:p w:rsidR="00C86303" w:rsidRPr="0035139B" w:rsidRDefault="00C86303" w:rsidP="005B04C1">
            <w:pPr>
              <w:jc w:val="center"/>
              <w:rPr>
                <w:rFonts w:cs="B Nazanin"/>
                <w:b/>
                <w:bCs/>
                <w:rtl/>
              </w:rPr>
            </w:pPr>
            <w:r w:rsidRPr="0035139B">
              <w:rPr>
                <w:rFonts w:cs="B Nazanin" w:hint="cs"/>
                <w:b/>
                <w:bCs/>
                <w:rtl/>
              </w:rPr>
              <w:t>مسئول اجراء</w:t>
            </w:r>
          </w:p>
        </w:tc>
        <w:tc>
          <w:tcPr>
            <w:tcW w:w="3544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C86303" w:rsidRPr="0035139B" w:rsidRDefault="00A356BA" w:rsidP="005B04C1">
            <w:pPr>
              <w:jc w:val="center"/>
              <w:rPr>
                <w:rFonts w:cs="B Nazanin"/>
                <w:b/>
                <w:bCs/>
                <w:rtl/>
              </w:rPr>
            </w:pPr>
            <w:r w:rsidRPr="0035139B">
              <w:rPr>
                <w:rFonts w:cs="B Nazanin" w:hint="cs"/>
                <w:b/>
                <w:bCs/>
                <w:rtl/>
              </w:rPr>
              <w:t>زمان اجراء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آموزش تغذیه مناسب در دوران بارداری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شکایت های شایع در دوران بارداری و علائم خطر دوران بارداری و پس از زایمان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اهمیت کلاسهای آمادگی برای زایمان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اهمیت مراقبت پیش از بارداری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5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مراقبت از نوزاد و علائم خطر نوزادی و اهمیت انجام آزمایشات غربالگری در نوزادان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والدین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6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اهمیت انجام آزمایشات غربالگری جنینی در دوران بارداری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7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برگزاری جلسات آموزشی شیردهی ویژه مادران باردار بر اساس سن بارداری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8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برگزاری کلاس آموزشی ویژه سالمندان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سالمندان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9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شیوه زندگی سالم میانسالان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میانسالان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163530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10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جلسات آموزش عملی غربالگری سرطان پستان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زنان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11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کمپین آموزشی در خصوص مشکلات و پیامدهای تک فرزندی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همسران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12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F61775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کمپین آموزشی پیشگیری از سقط القایی</w:t>
            </w:r>
          </w:p>
        </w:tc>
        <w:tc>
          <w:tcPr>
            <w:tcW w:w="2693" w:type="dxa"/>
            <w:vAlign w:val="center"/>
          </w:tcPr>
          <w:p w:rsidR="00C86303" w:rsidRPr="005B04C1" w:rsidRDefault="00C73168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زنان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13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0059A9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 کمپین آموزشی </w:t>
            </w:r>
            <w:r w:rsidR="000059A9" w:rsidRPr="005B04C1">
              <w:rPr>
                <w:rFonts w:cs="B Nazanin" w:hint="cs"/>
                <w:rtl/>
              </w:rPr>
              <w:t>ارتقاء</w:t>
            </w:r>
            <w:r w:rsidRPr="005B04C1">
              <w:rPr>
                <w:rFonts w:cs="B Nazanin" w:hint="cs"/>
                <w:rtl/>
              </w:rPr>
              <w:t xml:space="preserve"> آگاهی عمومی در زمینه پیشگیری از عوامل مستعد کننده ناباروری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همسران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14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 کمپین آموزشی در خصوص ترویج فرزندآوری و بارداری برنامه ریزی شده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همسران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15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پیشگیری از سوانح و حوادث در کودکان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16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ارتباط متقابل کودک و والدین برای ارتقای تکامل کودکان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همسران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17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اصول کلی تغذیه تکمیلی کودکان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18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توانمند سازی والدین جهت مراقبت از نوزاد در دوران بارداری و پس از زایمان</w:t>
            </w:r>
          </w:p>
        </w:tc>
        <w:tc>
          <w:tcPr>
            <w:tcW w:w="2693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همسران</w:t>
            </w:r>
          </w:p>
        </w:tc>
        <w:tc>
          <w:tcPr>
            <w:tcW w:w="1701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19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تحرک و فعالیت بدنی( ورزش صبحگاهی- تمرینات کششی و...) 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پاییز</w:t>
            </w:r>
          </w:p>
        </w:tc>
      </w:tr>
      <w:tr w:rsidR="00C86303" w:rsidRPr="005B04C1" w:rsidTr="00C46BF9">
        <w:trPr>
          <w:trHeight w:val="424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20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C46BF9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بهداشت دوران بلوغ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پاییز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21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پیشگیری از رفتارهای مخاطره آمیز در نوجوانان</w:t>
            </w:r>
            <w:r w:rsidRPr="00C46BF9">
              <w:rPr>
                <w:rFonts w:cs="B Nazanin" w:hint="cs"/>
                <w:rtl/>
              </w:rPr>
              <w:t>( اعتیاد- الکل- رفتارهای جنسی مخاطره آمیز و ایدز- خشونت- اعتیاد- تغذیه سالم)</w:t>
            </w:r>
            <w:r w:rsidRPr="00EF7AAE">
              <w:rPr>
                <w:rFonts w:cs="B Nazanin" w:hint="cs"/>
                <w:rtl/>
              </w:rPr>
              <w:t xml:space="preserve"> بر </w:t>
            </w:r>
            <w:r w:rsidRPr="005B04C1">
              <w:rPr>
                <w:rFonts w:cs="B Nazanin" w:hint="cs"/>
                <w:rtl/>
              </w:rPr>
              <w:t xml:space="preserve">مبنای مطالعات کاسپین 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نوجوانان، 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پاییز و زمستان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22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پیشگیری از مصدومیت های غیر عمد( حوادث نقلیه- سقوط- سوختگی- مسمومیت ها و ....) 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نوجوانان، 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زمستان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23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بهداشت محیط مدارس 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بهار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24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بهداشت فردی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طول سال تحصیلی</w:t>
            </w:r>
          </w:p>
        </w:tc>
      </w:tr>
      <w:tr w:rsidR="00C86303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25</w:t>
            </w:r>
          </w:p>
        </w:tc>
        <w:tc>
          <w:tcPr>
            <w:tcW w:w="7088" w:type="dxa"/>
            <w:vAlign w:val="center"/>
          </w:tcPr>
          <w:p w:rsidR="00C86303" w:rsidRPr="005B04C1" w:rsidRDefault="00C86303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بهداشت محیط مدارس</w:t>
            </w:r>
          </w:p>
        </w:tc>
        <w:tc>
          <w:tcPr>
            <w:tcW w:w="2693" w:type="dxa"/>
            <w:vAlign w:val="center"/>
          </w:tcPr>
          <w:p w:rsidR="00C86303" w:rsidRPr="005B04C1" w:rsidRDefault="00C86303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بهار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C86303" w:rsidRPr="005B04C1" w:rsidRDefault="007D010A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26</w:t>
            </w:r>
          </w:p>
        </w:tc>
        <w:tc>
          <w:tcPr>
            <w:tcW w:w="7088" w:type="dxa"/>
            <w:vAlign w:val="center"/>
          </w:tcPr>
          <w:p w:rsidR="00C86303" w:rsidRPr="005B04C1" w:rsidRDefault="00A356BA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اهمیت مصرف نمک ید دار تصفیه شده و اهمیت آن در سلامت </w:t>
            </w:r>
          </w:p>
        </w:tc>
        <w:tc>
          <w:tcPr>
            <w:tcW w:w="2693" w:type="dxa"/>
            <w:vAlign w:val="center"/>
          </w:tcPr>
          <w:p w:rsidR="00C86303" w:rsidRPr="005B04C1" w:rsidRDefault="00ED417B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*</w:t>
            </w:r>
            <w:r w:rsidR="00864E0D"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C86303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C86303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1 مورد در طی سال)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7D010A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27</w:t>
            </w:r>
          </w:p>
        </w:tc>
        <w:tc>
          <w:tcPr>
            <w:tcW w:w="7088" w:type="dxa"/>
            <w:vAlign w:val="center"/>
          </w:tcPr>
          <w:p w:rsidR="00A356BA" w:rsidRPr="005B04C1" w:rsidRDefault="00A356BA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مدیریت تغذیه در بحران  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0059A9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(1 مورد در طی سال)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7D010A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28</w:t>
            </w:r>
          </w:p>
        </w:tc>
        <w:tc>
          <w:tcPr>
            <w:tcW w:w="7088" w:type="dxa"/>
            <w:vAlign w:val="center"/>
          </w:tcPr>
          <w:p w:rsidR="00A356BA" w:rsidRPr="005B04C1" w:rsidRDefault="00A356BA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آموزش در خصوص اهمیت مصرف مکمل آهن و ویتامین </w:t>
            </w:r>
            <w:r w:rsidRPr="005B04C1">
              <w:rPr>
                <w:rFonts w:cs="B Nazanin"/>
              </w:rPr>
              <w:t>D</w:t>
            </w:r>
            <w:r w:rsidRPr="005B04C1">
              <w:rPr>
                <w:rFonts w:cs="B Nazanin" w:hint="cs"/>
                <w:rtl/>
              </w:rPr>
              <w:t xml:space="preserve"> در نوجوانان 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نوجوانان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(آبان ماه- هر مدرسه 1 بار)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7D010A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29</w:t>
            </w:r>
          </w:p>
        </w:tc>
        <w:tc>
          <w:tcPr>
            <w:tcW w:w="7088" w:type="dxa"/>
            <w:vAlign w:val="center"/>
          </w:tcPr>
          <w:p w:rsidR="00A356BA" w:rsidRPr="005B04C1" w:rsidRDefault="00A356BA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آموزش اصول تغذیه سالم (بر مبنای هرم و رهنمودهای غذایی ایران)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2 مورد در طی سال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7D010A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30</w:t>
            </w:r>
          </w:p>
        </w:tc>
        <w:tc>
          <w:tcPr>
            <w:tcW w:w="7088" w:type="dxa"/>
            <w:vAlign w:val="center"/>
          </w:tcPr>
          <w:p w:rsidR="00A356BA" w:rsidRPr="005B04C1" w:rsidRDefault="00A356BA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مراقبت های تغذیه ای جهت پیشگیری و کنترل اضافه وزن و چاقی در کودکان 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(2مورد در طی سال)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31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پیشگیری از عوامل خطر تغذیه ای بیماری های غیر واگیر (قند، نمک، چربی)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2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32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مراقبت های تغذیه ای جهت پیشگیری و کنترل اضافه وزن و چاقی در بزرگسالان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(2مورد در طی سال)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33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ضد عفونی سبزیجات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اردیبهشت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34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شستشوی صحیح دستها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خرداد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35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مضرات اشعه ماوراء بنفش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تیر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36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مضرات گاز رادون</w:t>
            </w:r>
          </w:p>
        </w:tc>
        <w:tc>
          <w:tcPr>
            <w:tcW w:w="2693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مرداد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37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بهداشت کشاورزی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کشاورزان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بهورز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38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بهداشت قالیبافان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قالیبافان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بهورز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864E0D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هر شش ماه یک نوبت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39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خود مراقبتی در سلامت روان و اعتیاد، ویژه سفیران سلامت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سفیران سلامت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فصلی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40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برنامه شنوایی و سلامت گوش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  <w:r w:rsidR="00E72007" w:rsidRPr="005B04C1">
              <w:rPr>
                <w:rFonts w:cs="B Nazanin" w:hint="cs"/>
                <w:rtl/>
              </w:rPr>
              <w:t xml:space="preserve"> و مادران باردار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E72007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(برای عموم مردم در  اسفند ماه و برای مادران باردار  در طی سال )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41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سرطان سرویکس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زنان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42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راههای پیشگیری از پوسیدگی دندان و بیماریهای لثه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هر شش ماه یک نوبت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43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تب مالت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اسفند و فروردین</w:t>
            </w:r>
          </w:p>
        </w:tc>
      </w:tr>
      <w:tr w:rsidR="00A356BA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A356BA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44</w:t>
            </w:r>
          </w:p>
        </w:tc>
        <w:tc>
          <w:tcPr>
            <w:tcW w:w="7088" w:type="dxa"/>
            <w:vAlign w:val="center"/>
          </w:tcPr>
          <w:p w:rsidR="00A356BA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هاری وحیوان گز</w:t>
            </w:r>
            <w:r w:rsidR="003B16D5" w:rsidRPr="005B04C1">
              <w:rPr>
                <w:rFonts w:cs="B Nazanin" w:hint="cs"/>
                <w:rtl/>
              </w:rPr>
              <w:t>ی</w:t>
            </w:r>
            <w:r w:rsidRPr="005B04C1">
              <w:rPr>
                <w:rFonts w:cs="B Nazanin" w:hint="cs"/>
                <w:rtl/>
              </w:rPr>
              <w:t>دگی</w:t>
            </w:r>
          </w:p>
        </w:tc>
        <w:tc>
          <w:tcPr>
            <w:tcW w:w="2693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A356BA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مرداد و شهریور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45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فلج اطفال (فلج شل حاد)</w:t>
            </w:r>
          </w:p>
        </w:tc>
        <w:tc>
          <w:tcPr>
            <w:tcW w:w="2693" w:type="dxa"/>
            <w:vAlign w:val="center"/>
          </w:tcPr>
          <w:p w:rsidR="00F61775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مادران</w:t>
            </w:r>
          </w:p>
        </w:tc>
        <w:tc>
          <w:tcPr>
            <w:tcW w:w="1701" w:type="dxa"/>
            <w:vAlign w:val="center"/>
          </w:tcPr>
          <w:p w:rsidR="00F61775" w:rsidRPr="005B04C1" w:rsidRDefault="003B16D5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فروردین و اردیبهشت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46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آنفلونزا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آبان و آذر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47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 xml:space="preserve">پدیکلوزیس </w:t>
            </w:r>
            <w:r w:rsidR="00C73168" w:rsidRPr="005B04C1">
              <w:rPr>
                <w:rFonts w:cs="B Nazanin" w:hint="cs"/>
                <w:rtl/>
              </w:rPr>
              <w:t>و گال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والدین، دانش آموزان، معلمین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در طی سال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2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48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سالک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والدین و دانش آموزان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تابستان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49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  <w:rtl/>
              </w:rPr>
            </w:pPr>
            <w:r w:rsidRPr="005B04C1">
              <w:rPr>
                <w:rFonts w:cs="B Nazanin"/>
              </w:rPr>
              <w:t>CCHF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والدین دانش آموزان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تابستان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50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</w:rPr>
            </w:pPr>
            <w:r w:rsidRPr="005B04C1">
              <w:rPr>
                <w:rFonts w:cs="B Nazanin" w:hint="cs"/>
                <w:rtl/>
              </w:rPr>
              <w:t>مالاریا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تابستان</w:t>
            </w:r>
          </w:p>
        </w:tc>
      </w:tr>
      <w:tr w:rsidR="00F61775" w:rsidRPr="005B04C1" w:rsidTr="00C46BF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51</w:t>
            </w:r>
          </w:p>
        </w:tc>
        <w:tc>
          <w:tcPr>
            <w:tcW w:w="7088" w:type="dxa"/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</w:rPr>
            </w:pPr>
            <w:r w:rsidRPr="005B04C1">
              <w:rPr>
                <w:rFonts w:cs="B Nazanin" w:hint="cs"/>
                <w:rtl/>
              </w:rPr>
              <w:t>بیماریهای منتقله  با آب و غذا</w:t>
            </w:r>
          </w:p>
        </w:tc>
        <w:tc>
          <w:tcPr>
            <w:tcW w:w="2693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مردم</w:t>
            </w:r>
          </w:p>
        </w:tc>
        <w:tc>
          <w:tcPr>
            <w:tcW w:w="1701" w:type="dxa"/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right w:val="thinThickSmallGap" w:sz="18" w:space="0" w:color="auto"/>
            </w:tcBorders>
            <w:vAlign w:val="center"/>
          </w:tcPr>
          <w:p w:rsidR="00F61775" w:rsidRPr="005B04C1" w:rsidRDefault="00B55824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تابستان</w:t>
            </w:r>
          </w:p>
        </w:tc>
      </w:tr>
      <w:tr w:rsidR="00F61775" w:rsidRPr="005B04C1" w:rsidTr="00F92F99">
        <w:trPr>
          <w:trHeight w:val="283"/>
          <w:jc w:val="center"/>
        </w:trPr>
        <w:tc>
          <w:tcPr>
            <w:tcW w:w="567" w:type="dxa"/>
            <w:tcBorders>
              <w:left w:val="thinThickSmallGap" w:sz="18" w:space="0" w:color="auto"/>
              <w:bottom w:val="thickThinSmallGap" w:sz="24" w:space="0" w:color="auto"/>
            </w:tcBorders>
            <w:vAlign w:val="center"/>
          </w:tcPr>
          <w:p w:rsidR="00F61775" w:rsidRPr="005B04C1" w:rsidRDefault="008103FF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52</w:t>
            </w:r>
          </w:p>
        </w:tc>
        <w:tc>
          <w:tcPr>
            <w:tcW w:w="7088" w:type="dxa"/>
            <w:tcBorders>
              <w:bottom w:val="thickThinSmallGap" w:sz="24" w:space="0" w:color="auto"/>
            </w:tcBorders>
            <w:vAlign w:val="center"/>
          </w:tcPr>
          <w:p w:rsidR="00F61775" w:rsidRPr="005B04C1" w:rsidRDefault="00F61775" w:rsidP="005B04C1">
            <w:pPr>
              <w:spacing w:line="276" w:lineRule="auto"/>
              <w:rPr>
                <w:rFonts w:cs="B Nazanin"/>
              </w:rPr>
            </w:pPr>
            <w:r w:rsidRPr="005B04C1">
              <w:rPr>
                <w:rFonts w:cs="B Nazanin" w:hint="cs"/>
                <w:rtl/>
              </w:rPr>
              <w:t>بیماری</w:t>
            </w:r>
            <w:bookmarkStart w:id="0" w:name="_GoBack"/>
            <w:bookmarkEnd w:id="0"/>
            <w:r w:rsidRPr="005B04C1">
              <w:rPr>
                <w:rFonts w:cs="B Nazanin" w:hint="cs"/>
                <w:rtl/>
              </w:rPr>
              <w:t xml:space="preserve">های منتقله با پشه های آئدس (تب </w:t>
            </w:r>
            <w:r w:rsidR="00B55824" w:rsidRPr="005B04C1">
              <w:rPr>
                <w:rFonts w:cs="B Nazanin" w:hint="cs"/>
                <w:rtl/>
              </w:rPr>
              <w:t>دانگ</w:t>
            </w:r>
            <w:r w:rsidRPr="005B04C1">
              <w:rPr>
                <w:rFonts w:cs="B Nazanin" w:hint="cs"/>
                <w:rtl/>
              </w:rPr>
              <w:t xml:space="preserve"> ، تب زرد و ....)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F61775" w:rsidRPr="005B04C1" w:rsidRDefault="00ED417B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عموم مرم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vAlign w:val="center"/>
          </w:tcPr>
          <w:p w:rsidR="00F61775" w:rsidRPr="005B04C1" w:rsidRDefault="00ED417B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تیم سلامت</w:t>
            </w:r>
          </w:p>
        </w:tc>
        <w:tc>
          <w:tcPr>
            <w:tcW w:w="3544" w:type="dxa"/>
            <w:tcBorders>
              <w:bottom w:val="thickThinSmallGap" w:sz="24" w:space="0" w:color="auto"/>
              <w:right w:val="thinThickSmallGap" w:sz="18" w:space="0" w:color="auto"/>
            </w:tcBorders>
            <w:vAlign w:val="center"/>
          </w:tcPr>
          <w:p w:rsidR="00F61775" w:rsidRPr="005B04C1" w:rsidRDefault="00ED417B" w:rsidP="005B04C1">
            <w:pPr>
              <w:jc w:val="center"/>
              <w:rPr>
                <w:rFonts w:cs="B Nazanin"/>
                <w:rtl/>
              </w:rPr>
            </w:pPr>
            <w:r w:rsidRPr="005B04C1">
              <w:rPr>
                <w:rFonts w:cs="B Nazanin" w:hint="cs"/>
                <w:rtl/>
              </w:rPr>
              <w:t>تابستان</w:t>
            </w:r>
          </w:p>
        </w:tc>
      </w:tr>
    </w:tbl>
    <w:p w:rsidR="007B66E4" w:rsidRPr="009C0D5F" w:rsidRDefault="007B66E4" w:rsidP="007B66E4">
      <w:pPr>
        <w:rPr>
          <w:rFonts w:cs="B Nazanin"/>
        </w:rPr>
      </w:pPr>
    </w:p>
    <w:p w:rsidR="00235FC2" w:rsidRPr="00235FC2" w:rsidRDefault="00F51008" w:rsidP="00F92F99">
      <w:pPr>
        <w:spacing w:after="0" w:line="360" w:lineRule="auto"/>
        <w:ind w:left="-784"/>
        <w:rPr>
          <w:rFonts w:cs="B Nazanin" w:hint="cs"/>
          <w:sz w:val="24"/>
          <w:szCs w:val="24"/>
          <w:rtl/>
        </w:rPr>
      </w:pPr>
      <w:r w:rsidRPr="00235FC2">
        <w:rPr>
          <w:rFonts w:cs="B Nazanin" w:hint="cs"/>
          <w:sz w:val="24"/>
          <w:szCs w:val="24"/>
          <w:rtl/>
        </w:rPr>
        <w:t xml:space="preserve">توضیحات: </w:t>
      </w:r>
      <w:r w:rsidR="00235FC2" w:rsidRPr="00235FC2">
        <w:rPr>
          <w:rFonts w:cs="B Nazanin" w:hint="cs"/>
          <w:sz w:val="24"/>
          <w:szCs w:val="24"/>
          <w:rtl/>
        </w:rPr>
        <w:t xml:space="preserve">1- </w:t>
      </w:r>
      <w:r w:rsidR="00773218" w:rsidRPr="00235FC2">
        <w:rPr>
          <w:rFonts w:cs="B Nazanin" w:hint="cs"/>
          <w:sz w:val="24"/>
          <w:szCs w:val="24"/>
          <w:rtl/>
        </w:rPr>
        <w:t>جدول فوق تنها شامل موضوعات</w:t>
      </w:r>
      <w:r w:rsidR="00235FC2" w:rsidRPr="00235FC2">
        <w:rPr>
          <w:rFonts w:cs="B Nazanin" w:hint="cs"/>
          <w:sz w:val="24"/>
          <w:szCs w:val="24"/>
          <w:rtl/>
        </w:rPr>
        <w:t xml:space="preserve"> پیشنهادی</w:t>
      </w:r>
      <w:r w:rsidR="00773218" w:rsidRPr="00235FC2">
        <w:rPr>
          <w:rFonts w:cs="B Nazanin" w:hint="cs"/>
          <w:sz w:val="24"/>
          <w:szCs w:val="24"/>
          <w:rtl/>
        </w:rPr>
        <w:t xml:space="preserve"> واحدهای ستادی بوده و تعیین اولویت های</w:t>
      </w:r>
      <w:r w:rsidR="00A33BBA" w:rsidRPr="00235FC2">
        <w:rPr>
          <w:rFonts w:cs="B Nazanin" w:hint="cs"/>
          <w:sz w:val="24"/>
          <w:szCs w:val="24"/>
          <w:rtl/>
        </w:rPr>
        <w:t xml:space="preserve"> آموزشی منطقه تحت پوشش بر عهده تیم سلامت مرکز</w:t>
      </w:r>
      <w:r w:rsidR="00F92F99">
        <w:rPr>
          <w:rFonts w:cs="B Nazanin" w:hint="cs"/>
          <w:sz w:val="24"/>
          <w:szCs w:val="24"/>
          <w:rtl/>
        </w:rPr>
        <w:t xml:space="preserve"> </w:t>
      </w:r>
      <w:r w:rsidR="00B9517D" w:rsidRPr="00235FC2">
        <w:rPr>
          <w:rFonts w:cs="B Nazanin" w:hint="cs"/>
          <w:sz w:val="24"/>
          <w:szCs w:val="24"/>
          <w:rtl/>
        </w:rPr>
        <w:t>و بر اساس نیازسنجی</w:t>
      </w:r>
      <w:r w:rsidR="00235FC2">
        <w:rPr>
          <w:rFonts w:cs="B Nazanin" w:hint="cs"/>
          <w:sz w:val="24"/>
          <w:szCs w:val="24"/>
          <w:rtl/>
        </w:rPr>
        <w:t xml:space="preserve"> مشکلات سلامت منطقه</w:t>
      </w:r>
      <w:r w:rsidR="00B9517D" w:rsidRPr="00235FC2">
        <w:rPr>
          <w:rFonts w:cs="B Nazanin" w:hint="cs"/>
          <w:sz w:val="24"/>
          <w:szCs w:val="24"/>
          <w:rtl/>
        </w:rPr>
        <w:t xml:space="preserve"> </w:t>
      </w:r>
      <w:r w:rsidR="00A33BBA" w:rsidRPr="00235FC2">
        <w:rPr>
          <w:rFonts w:cs="B Nazanin" w:hint="cs"/>
          <w:sz w:val="24"/>
          <w:szCs w:val="24"/>
          <w:rtl/>
        </w:rPr>
        <w:t>می باشد.</w:t>
      </w:r>
    </w:p>
    <w:p w:rsidR="00A33BBA" w:rsidRPr="00235FC2" w:rsidRDefault="00A33BBA" w:rsidP="00235FC2">
      <w:pPr>
        <w:spacing w:after="0" w:line="360" w:lineRule="auto"/>
        <w:ind w:left="-784"/>
        <w:rPr>
          <w:rFonts w:cs="B Nazanin"/>
          <w:sz w:val="24"/>
          <w:szCs w:val="24"/>
          <w:rtl/>
        </w:rPr>
      </w:pPr>
      <w:r w:rsidRPr="00235FC2">
        <w:rPr>
          <w:rFonts w:cs="B Nazanin" w:hint="cs"/>
          <w:sz w:val="24"/>
          <w:szCs w:val="24"/>
          <w:rtl/>
        </w:rPr>
        <w:t xml:space="preserve"> </w:t>
      </w:r>
      <w:r w:rsidR="00235FC2" w:rsidRPr="00235FC2">
        <w:rPr>
          <w:rFonts w:cs="B Nazanin" w:hint="cs"/>
          <w:sz w:val="24"/>
          <w:szCs w:val="24"/>
          <w:rtl/>
        </w:rPr>
        <w:t xml:space="preserve">2- </w:t>
      </w:r>
      <w:r w:rsidRPr="00235FC2">
        <w:rPr>
          <w:rFonts w:cs="B Nazanin" w:hint="cs"/>
          <w:sz w:val="24"/>
          <w:szCs w:val="24"/>
          <w:rtl/>
        </w:rPr>
        <w:t xml:space="preserve">در جدول فوق موضوعات </w:t>
      </w:r>
      <w:r w:rsidRPr="00F92F99">
        <w:rPr>
          <w:rFonts w:cs="B Nazanin" w:hint="cs"/>
          <w:sz w:val="24"/>
          <w:szCs w:val="24"/>
          <w:rtl/>
        </w:rPr>
        <w:t xml:space="preserve">مربوط به مناسبت های بهداشتی </w:t>
      </w:r>
      <w:r w:rsidR="00ED417B" w:rsidRPr="00F92F99">
        <w:rPr>
          <w:rFonts w:cs="B Nazanin" w:hint="cs"/>
          <w:sz w:val="24"/>
          <w:szCs w:val="24"/>
          <w:rtl/>
        </w:rPr>
        <w:t xml:space="preserve">تقویم سلامت </w:t>
      </w:r>
      <w:r w:rsidRPr="00F92F99">
        <w:rPr>
          <w:rFonts w:cs="B Nazanin" w:hint="cs"/>
          <w:sz w:val="24"/>
          <w:szCs w:val="24"/>
          <w:rtl/>
        </w:rPr>
        <w:t>درج نگردیده است که باید</w:t>
      </w:r>
      <w:r w:rsidRPr="00235FC2">
        <w:rPr>
          <w:rFonts w:cs="B Nazanin" w:hint="cs"/>
          <w:sz w:val="24"/>
          <w:szCs w:val="24"/>
          <w:rtl/>
        </w:rPr>
        <w:t xml:space="preserve"> اجرای برنامه های آموزشی متناسب با تقویم </w:t>
      </w:r>
      <w:r w:rsidR="00235FC2" w:rsidRPr="00235FC2">
        <w:rPr>
          <w:rFonts w:cs="B Nazanin" w:hint="cs"/>
          <w:sz w:val="24"/>
          <w:szCs w:val="24"/>
          <w:rtl/>
        </w:rPr>
        <w:t>سلامت</w:t>
      </w:r>
      <w:r w:rsidRPr="00235FC2">
        <w:rPr>
          <w:rFonts w:cs="B Nazanin" w:hint="cs"/>
          <w:sz w:val="24"/>
          <w:szCs w:val="24"/>
          <w:rtl/>
        </w:rPr>
        <w:t xml:space="preserve"> در موعد مقرر</w:t>
      </w:r>
      <w:r w:rsidR="00F92F99">
        <w:rPr>
          <w:rFonts w:cs="B Nazanin" w:hint="cs"/>
          <w:sz w:val="24"/>
          <w:szCs w:val="24"/>
          <w:rtl/>
        </w:rPr>
        <w:t xml:space="preserve"> نیز</w:t>
      </w:r>
      <w:r w:rsidRPr="00235FC2">
        <w:rPr>
          <w:rFonts w:cs="B Nazanin" w:hint="cs"/>
          <w:sz w:val="24"/>
          <w:szCs w:val="24"/>
          <w:rtl/>
        </w:rPr>
        <w:t xml:space="preserve"> در دستور کار </w:t>
      </w:r>
      <w:r w:rsidR="00235FC2" w:rsidRPr="00235FC2">
        <w:rPr>
          <w:rFonts w:cs="B Nazanin" w:hint="cs"/>
          <w:sz w:val="24"/>
          <w:szCs w:val="24"/>
          <w:rtl/>
        </w:rPr>
        <w:t>قرار</w:t>
      </w:r>
      <w:r w:rsidRPr="00235FC2">
        <w:rPr>
          <w:rFonts w:cs="B Nazanin" w:hint="cs"/>
          <w:sz w:val="24"/>
          <w:szCs w:val="24"/>
          <w:rtl/>
        </w:rPr>
        <w:t>گیرد.</w:t>
      </w:r>
    </w:p>
    <w:p w:rsidR="005B04C1" w:rsidRDefault="005B04C1" w:rsidP="00366B2D">
      <w:pPr>
        <w:ind w:left="-784"/>
        <w:rPr>
          <w:rFonts w:cs="B Nazanin"/>
        </w:rPr>
      </w:pPr>
    </w:p>
    <w:sectPr w:rsidR="005B04C1" w:rsidSect="00A341EE">
      <w:pgSz w:w="16839" w:h="23814" w:code="8"/>
      <w:pgMar w:top="426" w:right="110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6A52"/>
    <w:multiLevelType w:val="hybridMultilevel"/>
    <w:tmpl w:val="FEB2892A"/>
    <w:lvl w:ilvl="0" w:tplc="6C3473C6">
      <w:numFmt w:val="bullet"/>
      <w:lvlText w:val=""/>
      <w:lvlJc w:val="left"/>
      <w:pPr>
        <w:ind w:left="-424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1">
    <w:nsid w:val="6AC00899"/>
    <w:multiLevelType w:val="hybridMultilevel"/>
    <w:tmpl w:val="AE56AFF2"/>
    <w:lvl w:ilvl="0" w:tplc="E70C63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0D5F"/>
    <w:rsid w:val="000059A9"/>
    <w:rsid w:val="000F1F6F"/>
    <w:rsid w:val="00143610"/>
    <w:rsid w:val="00146485"/>
    <w:rsid w:val="00163530"/>
    <w:rsid w:val="001C1329"/>
    <w:rsid w:val="001C6550"/>
    <w:rsid w:val="00235FC2"/>
    <w:rsid w:val="00266667"/>
    <w:rsid w:val="003417D6"/>
    <w:rsid w:val="0035139B"/>
    <w:rsid w:val="00366B2D"/>
    <w:rsid w:val="0039149C"/>
    <w:rsid w:val="003B16D5"/>
    <w:rsid w:val="003B774E"/>
    <w:rsid w:val="004613A8"/>
    <w:rsid w:val="00473E71"/>
    <w:rsid w:val="00483A78"/>
    <w:rsid w:val="004D7062"/>
    <w:rsid w:val="004F2E46"/>
    <w:rsid w:val="004F6A9E"/>
    <w:rsid w:val="004F7414"/>
    <w:rsid w:val="005013AA"/>
    <w:rsid w:val="005210CD"/>
    <w:rsid w:val="00527A83"/>
    <w:rsid w:val="00571E2E"/>
    <w:rsid w:val="005B04C1"/>
    <w:rsid w:val="005D3AA5"/>
    <w:rsid w:val="00624FF2"/>
    <w:rsid w:val="00656D72"/>
    <w:rsid w:val="00697E63"/>
    <w:rsid w:val="006A2EA7"/>
    <w:rsid w:val="006F511C"/>
    <w:rsid w:val="00723427"/>
    <w:rsid w:val="00723B80"/>
    <w:rsid w:val="00773218"/>
    <w:rsid w:val="0077478B"/>
    <w:rsid w:val="007968E2"/>
    <w:rsid w:val="00796AD6"/>
    <w:rsid w:val="007B60B6"/>
    <w:rsid w:val="007B66E4"/>
    <w:rsid w:val="007D010A"/>
    <w:rsid w:val="007E2060"/>
    <w:rsid w:val="007F0E1B"/>
    <w:rsid w:val="007F5087"/>
    <w:rsid w:val="008031E7"/>
    <w:rsid w:val="008103FF"/>
    <w:rsid w:val="008433F1"/>
    <w:rsid w:val="00864E0D"/>
    <w:rsid w:val="008751DB"/>
    <w:rsid w:val="00894D54"/>
    <w:rsid w:val="008D40D9"/>
    <w:rsid w:val="008F7CF7"/>
    <w:rsid w:val="00912128"/>
    <w:rsid w:val="009C0D5F"/>
    <w:rsid w:val="00A33BBA"/>
    <w:rsid w:val="00A341EE"/>
    <w:rsid w:val="00A356BA"/>
    <w:rsid w:val="00A43D64"/>
    <w:rsid w:val="00A721D3"/>
    <w:rsid w:val="00AE3ACA"/>
    <w:rsid w:val="00B01B60"/>
    <w:rsid w:val="00B07E5F"/>
    <w:rsid w:val="00B234DF"/>
    <w:rsid w:val="00B55824"/>
    <w:rsid w:val="00B84102"/>
    <w:rsid w:val="00B9517D"/>
    <w:rsid w:val="00BE3B6B"/>
    <w:rsid w:val="00BE746F"/>
    <w:rsid w:val="00C46BF9"/>
    <w:rsid w:val="00C65E20"/>
    <w:rsid w:val="00C73168"/>
    <w:rsid w:val="00C86303"/>
    <w:rsid w:val="00CA1E0D"/>
    <w:rsid w:val="00D379ED"/>
    <w:rsid w:val="00DF1148"/>
    <w:rsid w:val="00E260B7"/>
    <w:rsid w:val="00E67143"/>
    <w:rsid w:val="00E72007"/>
    <w:rsid w:val="00ED417B"/>
    <w:rsid w:val="00EF7AAE"/>
    <w:rsid w:val="00F25E51"/>
    <w:rsid w:val="00F51008"/>
    <w:rsid w:val="00F61775"/>
    <w:rsid w:val="00F92F99"/>
    <w:rsid w:val="00F93604"/>
    <w:rsid w:val="00FD49D9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3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marzie mohamadi</dc:creator>
  <cp:lastModifiedBy>aliasghari-e3</cp:lastModifiedBy>
  <cp:revision>11</cp:revision>
  <cp:lastPrinted>2019-03-13T10:03:00Z</cp:lastPrinted>
  <dcterms:created xsi:type="dcterms:W3CDTF">2019-03-13T09:38:00Z</dcterms:created>
  <dcterms:modified xsi:type="dcterms:W3CDTF">2019-05-20T09:46:00Z</dcterms:modified>
</cp:coreProperties>
</file>